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71" w:tblpY="3232"/>
        <w:tblOverlap w:val="never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4839"/>
        <w:gridCol w:w="793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734" w:type="dxa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评价项目</w:t>
            </w:r>
          </w:p>
        </w:tc>
        <w:tc>
          <w:tcPr>
            <w:tcW w:w="4839" w:type="dxa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793" w:type="dxa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权重比例</w:t>
            </w:r>
          </w:p>
        </w:tc>
        <w:tc>
          <w:tcPr>
            <w:tcW w:w="1286" w:type="dxa"/>
          </w:tcPr>
          <w:p>
            <w:pPr>
              <w:spacing w:line="520" w:lineRule="exact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实际得分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734" w:type="dxa"/>
            <w:vAlign w:val="center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1、企业资质</w:t>
            </w:r>
          </w:p>
        </w:tc>
        <w:tc>
          <w:tcPr>
            <w:tcW w:w="4839" w:type="dxa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具备建筑安装工程二级资质3分，一级资质5分。</w:t>
            </w:r>
          </w:p>
        </w:tc>
        <w:tc>
          <w:tcPr>
            <w:tcW w:w="7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2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1734" w:type="dxa"/>
            <w:vAlign w:val="center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2、履约保证金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及托管工程款</w:t>
            </w:r>
          </w:p>
        </w:tc>
        <w:tc>
          <w:tcPr>
            <w:tcW w:w="4839" w:type="dxa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提供1000万元履约保证金（现金）（基础得分10分）；每增加100万元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托管工程款（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现金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加2分，每增加100万元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托管工程款（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银行保函额度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加1分（加分上限40分）。</w:t>
            </w:r>
          </w:p>
        </w:tc>
        <w:tc>
          <w:tcPr>
            <w:tcW w:w="7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50</w:t>
            </w:r>
          </w:p>
        </w:tc>
        <w:tc>
          <w:tcPr>
            <w:tcW w:w="12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8" w:hRule="atLeast"/>
        </w:trPr>
        <w:tc>
          <w:tcPr>
            <w:tcW w:w="1734" w:type="dxa"/>
            <w:vAlign w:val="center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3、付款方式（工程价款付款方式只能择一选定）</w:t>
            </w:r>
          </w:p>
        </w:tc>
        <w:tc>
          <w:tcPr>
            <w:tcW w:w="4839" w:type="dxa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eastAsia="仿宋" w:cs="Calibri"/>
                <w:sz w:val="28"/>
                <w:szCs w:val="28"/>
              </w:rPr>
              <w:t>①</w:t>
            </w:r>
            <w:r>
              <w:rPr>
                <w:rFonts w:hint="eastAsia" w:eastAsia="仿宋" w:cs="Calibri"/>
                <w:sz w:val="28"/>
                <w:szCs w:val="28"/>
              </w:rPr>
              <w:t>选择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按月结算（如通过以房抵债，抵债房屋价格不低于3100元/㎡）（基础得分5分），抵债价格每增加30元加1分（加分上限25分）。</w:t>
            </w:r>
          </w:p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eastAsia="仿宋" w:cs="Calibri"/>
                <w:sz w:val="28"/>
                <w:szCs w:val="28"/>
              </w:rPr>
              <w:t>②</w:t>
            </w:r>
            <w:r>
              <w:rPr>
                <w:rFonts w:hint="eastAsia" w:eastAsia="仿宋" w:cs="Calibri"/>
                <w:sz w:val="28"/>
                <w:szCs w:val="28"/>
              </w:rPr>
              <w:t>选择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工程竣工验收后结算（如通过以房抵债，抵债房屋价格为抵债前3个月综合市场价的70%（基础分10分），抵债价格基础上每增加50元加1分（加分上限20分）。</w:t>
            </w:r>
          </w:p>
        </w:tc>
        <w:tc>
          <w:tcPr>
            <w:tcW w:w="7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30</w:t>
            </w:r>
          </w:p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734" w:type="dxa"/>
            <w:vAlign w:val="center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4、工程工期</w:t>
            </w:r>
          </w:p>
        </w:tc>
        <w:tc>
          <w:tcPr>
            <w:tcW w:w="4839" w:type="dxa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承诺施工工期10个月（基础得分5分）。承诺施工工期每减少15天（自然日）加2分（加分上限10分）</w:t>
            </w:r>
          </w:p>
        </w:tc>
        <w:tc>
          <w:tcPr>
            <w:tcW w:w="7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4" w:type="dxa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合计</w:t>
            </w:r>
          </w:p>
        </w:tc>
        <w:tc>
          <w:tcPr>
            <w:tcW w:w="4839" w:type="dxa"/>
          </w:tcPr>
          <w:p>
            <w:pPr>
              <w:spacing w:line="52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100</w:t>
            </w:r>
          </w:p>
        </w:tc>
        <w:tc>
          <w:tcPr>
            <w:tcW w:w="12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附件二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项目竞争性评分规则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MTNhY2RkZWFhMGIzZmU5NzRkMjlmYThiZjNkZDcifQ=="/>
  </w:docVars>
  <w:rsids>
    <w:rsidRoot w:val="1C2F52EE"/>
    <w:rsid w:val="1C2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2024-08-12T05:33:00Z</dcterms:created>
  <dc:creator>Capricorn</dc:creator>
  <cp:lastModifiedBy>Capricorn</cp:lastModifiedBy>
  <dcterms:modified xsi:type="dcterms:W3CDTF">2024-08-12T05:37:32Z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474B2BA556B648D4B21C23A556BBD2EF_11</vt:lpwstr>
  </property>
</Properties>
</file>